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D8E10" w14:textId="77777777" w:rsidR="00EE166D" w:rsidRDefault="00000000">
      <w:pPr>
        <w:keepNext/>
        <w:pBdr>
          <w:top w:val="nil"/>
          <w:left w:val="nil"/>
          <w:bottom w:val="nil"/>
          <w:right w:val="nil"/>
          <w:between w:val="nil"/>
        </w:pBdr>
        <w:spacing w:before="240" w:after="120"/>
        <w:jc w:val="center"/>
        <w:rPr>
          <w:rFonts w:ascii="Arial" w:eastAsia="Arial" w:hAnsi="Arial" w:cs="Arial"/>
          <w:b/>
          <w:color w:val="000000"/>
        </w:rPr>
      </w:pPr>
      <w:r>
        <w:rPr>
          <w:rFonts w:ascii="Arial" w:eastAsia="Arial" w:hAnsi="Arial" w:cs="Arial"/>
          <w:b/>
          <w:color w:val="000000"/>
        </w:rPr>
        <w:t>Obec Orlovice</w:t>
      </w:r>
      <w:r>
        <w:rPr>
          <w:rFonts w:ascii="Arial" w:eastAsia="Arial" w:hAnsi="Arial" w:cs="Arial"/>
          <w:b/>
          <w:color w:val="000000"/>
        </w:rPr>
        <w:br/>
        <w:t>Zastupitelstvo obce Orlovice</w:t>
      </w:r>
    </w:p>
    <w:p w14:paraId="27FFF426" w14:textId="77777777" w:rsidR="00EE166D" w:rsidRDefault="00000000">
      <w:pPr>
        <w:keepNext/>
        <w:numPr>
          <w:ilvl w:val="0"/>
          <w:numId w:val="6"/>
        </w:numPr>
        <w:pBdr>
          <w:top w:val="nil"/>
          <w:left w:val="nil"/>
          <w:bottom w:val="nil"/>
          <w:right w:val="nil"/>
          <w:between w:val="nil"/>
        </w:pBdr>
        <w:tabs>
          <w:tab w:val="left" w:pos="0"/>
        </w:tabs>
        <w:spacing w:before="238" w:after="238"/>
        <w:jc w:val="center"/>
        <w:rPr>
          <w:rFonts w:ascii="Arial" w:eastAsia="Arial" w:hAnsi="Arial" w:cs="Arial"/>
          <w:b/>
          <w:color w:val="000000"/>
        </w:rPr>
      </w:pPr>
      <w:r>
        <w:rPr>
          <w:rFonts w:ascii="Arial" w:eastAsia="Arial" w:hAnsi="Arial" w:cs="Arial"/>
          <w:b/>
          <w:color w:val="000000"/>
        </w:rPr>
        <w:t>Obecně závazná vyhláška obce Orlovice</w:t>
      </w:r>
      <w:r>
        <w:rPr>
          <w:rFonts w:ascii="Arial" w:eastAsia="Arial" w:hAnsi="Arial" w:cs="Arial"/>
          <w:b/>
          <w:color w:val="000000"/>
        </w:rPr>
        <w:br/>
        <w:t>o místním poplatku ze psů</w:t>
      </w:r>
    </w:p>
    <w:p w14:paraId="214624B5" w14:textId="77777777" w:rsidR="00EE166D" w:rsidRDefault="00000000">
      <w:pPr>
        <w:pBdr>
          <w:top w:val="nil"/>
          <w:left w:val="nil"/>
          <w:bottom w:val="nil"/>
          <w:right w:val="nil"/>
          <w:between w:val="nil"/>
        </w:pBdr>
        <w:spacing w:before="62" w:after="120" w:line="276" w:lineRule="auto"/>
        <w:jc w:val="both"/>
        <w:rPr>
          <w:rFonts w:ascii="Arial" w:eastAsia="Arial" w:hAnsi="Arial" w:cs="Arial"/>
          <w:color w:val="000000"/>
          <w:sz w:val="22"/>
          <w:szCs w:val="22"/>
        </w:rPr>
      </w:pPr>
      <w:r>
        <w:rPr>
          <w:rFonts w:ascii="Arial" w:eastAsia="Arial" w:hAnsi="Arial" w:cs="Arial"/>
          <w:color w:val="000000"/>
          <w:sz w:val="22"/>
          <w:szCs w:val="22"/>
        </w:rPr>
        <w:t>Zastupitelstvo obce Orlovice se na svém zasedání dne </w:t>
      </w:r>
      <w:r>
        <w:rPr>
          <w:rFonts w:ascii="Arial" w:eastAsia="Arial" w:hAnsi="Arial" w:cs="Arial"/>
          <w:sz w:val="22"/>
          <w:szCs w:val="22"/>
        </w:rPr>
        <w:t>14</w:t>
      </w:r>
      <w:r>
        <w:rPr>
          <w:rFonts w:ascii="Arial" w:eastAsia="Arial" w:hAnsi="Arial" w:cs="Arial"/>
          <w:color w:val="000000"/>
          <w:sz w:val="22"/>
          <w:szCs w:val="22"/>
        </w:rPr>
        <w:t xml:space="preserve">. </w:t>
      </w:r>
      <w:r>
        <w:rPr>
          <w:rFonts w:ascii="Arial" w:eastAsia="Arial" w:hAnsi="Arial" w:cs="Arial"/>
          <w:sz w:val="22"/>
          <w:szCs w:val="22"/>
        </w:rPr>
        <w:t>prosince</w:t>
      </w:r>
      <w:r>
        <w:rPr>
          <w:rFonts w:ascii="Arial" w:eastAsia="Arial" w:hAnsi="Arial" w:cs="Arial"/>
          <w:color w:val="000000"/>
          <w:sz w:val="22"/>
          <w:szCs w:val="22"/>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AFAF17F"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1</w:t>
      </w:r>
      <w:r>
        <w:rPr>
          <w:rFonts w:ascii="Arial" w:eastAsia="Arial" w:hAnsi="Arial" w:cs="Arial"/>
          <w:b/>
          <w:color w:val="000000"/>
        </w:rPr>
        <w:br/>
        <w:t>Úvodní ustanovení</w:t>
      </w:r>
    </w:p>
    <w:p w14:paraId="280F6264" w14:textId="77777777" w:rsidR="00EE166D" w:rsidRDefault="00000000">
      <w:pPr>
        <w:numPr>
          <w:ilvl w:val="0"/>
          <w:numId w:val="7"/>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Obec Orlovice touto vyhláškou zavádí místní poplatek ze psů (dále jen „poplatek“).</w:t>
      </w:r>
    </w:p>
    <w:p w14:paraId="713E5437" w14:textId="77777777" w:rsidR="00EE166D" w:rsidRDefault="00000000">
      <w:pPr>
        <w:numPr>
          <w:ilvl w:val="0"/>
          <w:numId w:val="7"/>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Poplatkovým obdobím poplatku je kalendářní rok</w:t>
      </w:r>
      <w:r>
        <w:rPr>
          <w:rFonts w:ascii="Arial" w:eastAsia="Arial" w:hAnsi="Arial" w:cs="Arial"/>
          <w:color w:val="000000"/>
          <w:sz w:val="26"/>
          <w:szCs w:val="26"/>
          <w:vertAlign w:val="superscript"/>
        </w:rPr>
        <w:footnoteReference w:id="1"/>
      </w:r>
      <w:r>
        <w:rPr>
          <w:rFonts w:ascii="Arial" w:eastAsia="Arial" w:hAnsi="Arial" w:cs="Arial"/>
          <w:color w:val="000000"/>
          <w:sz w:val="22"/>
          <w:szCs w:val="22"/>
        </w:rPr>
        <w:t>.</w:t>
      </w:r>
    </w:p>
    <w:p w14:paraId="7F31C387" w14:textId="77777777" w:rsidR="00EE166D" w:rsidRDefault="00000000">
      <w:pPr>
        <w:numPr>
          <w:ilvl w:val="0"/>
          <w:numId w:val="7"/>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Správcem poplatku je obecní úřad</w:t>
      </w:r>
      <w:r>
        <w:rPr>
          <w:rFonts w:ascii="Arial" w:eastAsia="Arial" w:hAnsi="Arial" w:cs="Arial"/>
          <w:color w:val="000000"/>
          <w:sz w:val="26"/>
          <w:szCs w:val="26"/>
          <w:vertAlign w:val="superscript"/>
        </w:rPr>
        <w:footnoteReference w:id="2"/>
      </w:r>
      <w:r>
        <w:rPr>
          <w:rFonts w:ascii="Arial" w:eastAsia="Arial" w:hAnsi="Arial" w:cs="Arial"/>
          <w:color w:val="000000"/>
          <w:sz w:val="22"/>
          <w:szCs w:val="22"/>
        </w:rPr>
        <w:t>.</w:t>
      </w:r>
    </w:p>
    <w:p w14:paraId="3327147F"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2</w:t>
      </w:r>
      <w:r>
        <w:rPr>
          <w:rFonts w:ascii="Arial" w:eastAsia="Arial" w:hAnsi="Arial" w:cs="Arial"/>
          <w:b/>
          <w:color w:val="000000"/>
        </w:rPr>
        <w:br/>
        <w:t>Předmět poplatku a poplatník</w:t>
      </w:r>
    </w:p>
    <w:p w14:paraId="7D4A08C0" w14:textId="77777777" w:rsidR="00EE166D" w:rsidRDefault="00000000">
      <w:pPr>
        <w:numPr>
          <w:ilvl w:val="0"/>
          <w:numId w:val="8"/>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Fonts w:ascii="Arial" w:eastAsia="Arial" w:hAnsi="Arial" w:cs="Arial"/>
          <w:color w:val="000000"/>
          <w:sz w:val="26"/>
          <w:szCs w:val="26"/>
          <w:vertAlign w:val="superscript"/>
        </w:rPr>
        <w:footnoteReference w:id="3"/>
      </w:r>
      <w:r>
        <w:rPr>
          <w:rFonts w:ascii="Arial" w:eastAsia="Arial" w:hAnsi="Arial" w:cs="Arial"/>
          <w:color w:val="000000"/>
          <w:sz w:val="22"/>
          <w:szCs w:val="22"/>
        </w:rPr>
        <w:t>.</w:t>
      </w:r>
    </w:p>
    <w:p w14:paraId="1C3EABEF" w14:textId="77777777" w:rsidR="00EE166D" w:rsidRDefault="00000000">
      <w:pPr>
        <w:numPr>
          <w:ilvl w:val="0"/>
          <w:numId w:val="8"/>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ze psů se platí ze psů starších 3 měsíců</w:t>
      </w:r>
      <w:r>
        <w:rPr>
          <w:rFonts w:ascii="Arial" w:eastAsia="Arial" w:hAnsi="Arial" w:cs="Arial"/>
          <w:color w:val="000000"/>
          <w:sz w:val="26"/>
          <w:szCs w:val="26"/>
          <w:vertAlign w:val="superscript"/>
        </w:rPr>
        <w:footnoteReference w:id="4"/>
      </w:r>
      <w:r>
        <w:rPr>
          <w:rFonts w:ascii="Arial" w:eastAsia="Arial" w:hAnsi="Arial" w:cs="Arial"/>
          <w:color w:val="000000"/>
          <w:sz w:val="22"/>
          <w:szCs w:val="22"/>
        </w:rPr>
        <w:t>.</w:t>
      </w:r>
    </w:p>
    <w:p w14:paraId="2B569ECE"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3</w:t>
      </w:r>
      <w:r>
        <w:rPr>
          <w:rFonts w:ascii="Arial" w:eastAsia="Arial" w:hAnsi="Arial" w:cs="Arial"/>
          <w:b/>
          <w:color w:val="000000"/>
        </w:rPr>
        <w:br/>
        <w:t>Ohlašovací povinnost</w:t>
      </w:r>
    </w:p>
    <w:p w14:paraId="35171A68" w14:textId="77777777" w:rsidR="00EE166D" w:rsidRDefault="00000000">
      <w:pPr>
        <w:numPr>
          <w:ilvl w:val="0"/>
          <w:numId w:val="1"/>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Poplatník je povinen podat správci poplatku ohlášení nejpozději do 15 dnů ode dne, kdy se pes stal starším 3 měsíců, nebo ode dne, kdy nabyl psa staršího 3 měsíců; údaje uváděné v ohlášení upravuje zákon</w:t>
      </w:r>
      <w:r>
        <w:rPr>
          <w:rFonts w:ascii="Arial" w:eastAsia="Arial" w:hAnsi="Arial" w:cs="Arial"/>
          <w:color w:val="000000"/>
          <w:sz w:val="26"/>
          <w:szCs w:val="26"/>
          <w:vertAlign w:val="superscript"/>
        </w:rPr>
        <w:footnoteReference w:id="5"/>
      </w:r>
      <w:r>
        <w:rPr>
          <w:rFonts w:ascii="Arial" w:eastAsia="Arial" w:hAnsi="Arial" w:cs="Arial"/>
          <w:color w:val="000000"/>
          <w:sz w:val="22"/>
          <w:szCs w:val="22"/>
        </w:rPr>
        <w:t>.</w:t>
      </w:r>
    </w:p>
    <w:p w14:paraId="525CCBE4" w14:textId="77777777" w:rsidR="00EE166D" w:rsidRDefault="00000000">
      <w:pPr>
        <w:numPr>
          <w:ilvl w:val="0"/>
          <w:numId w:val="1"/>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Dojde-li ke změně údajů uvedených v ohlášení, je poplatník povinen tuto změnu oznámit do 15 dnů ode dne, kdy nastala</w:t>
      </w:r>
      <w:r>
        <w:rPr>
          <w:rFonts w:ascii="Arial" w:eastAsia="Arial" w:hAnsi="Arial" w:cs="Arial"/>
          <w:color w:val="000000"/>
          <w:sz w:val="26"/>
          <w:szCs w:val="26"/>
          <w:vertAlign w:val="superscript"/>
        </w:rPr>
        <w:footnoteReference w:id="6"/>
      </w:r>
      <w:r>
        <w:rPr>
          <w:rFonts w:ascii="Arial" w:eastAsia="Arial" w:hAnsi="Arial" w:cs="Arial"/>
          <w:color w:val="000000"/>
          <w:sz w:val="22"/>
          <w:szCs w:val="22"/>
        </w:rPr>
        <w:t>.</w:t>
      </w:r>
    </w:p>
    <w:p w14:paraId="4D06C7F0"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4</w:t>
      </w:r>
      <w:r>
        <w:rPr>
          <w:rFonts w:ascii="Arial" w:eastAsia="Arial" w:hAnsi="Arial" w:cs="Arial"/>
          <w:b/>
          <w:color w:val="000000"/>
        </w:rPr>
        <w:br/>
        <w:t>Sazba poplatku</w:t>
      </w:r>
    </w:p>
    <w:p w14:paraId="1831216D" w14:textId="77777777" w:rsidR="00EE166D" w:rsidRDefault="00000000">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Sazba poplatku za kalendářní rok činí:</w:t>
      </w:r>
    </w:p>
    <w:p w14:paraId="2FDC00E8" w14:textId="77777777" w:rsidR="00EE166D" w:rsidRDefault="0000000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jednoho psa 100 Kč,</w:t>
      </w:r>
    </w:p>
    <w:p w14:paraId="261B8180" w14:textId="77777777" w:rsidR="00EE166D" w:rsidRDefault="0000000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lastRenderedPageBreak/>
        <w:t>za druhého a každého dalšího psa téhož držitele 200 Kč,</w:t>
      </w:r>
    </w:p>
    <w:p w14:paraId="0843CE57" w14:textId="77777777" w:rsidR="00EE166D" w:rsidRDefault="0000000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psa, jehož držitelem je osoba starší 65 let, 100 Kč,</w:t>
      </w:r>
    </w:p>
    <w:p w14:paraId="2C4F93FB" w14:textId="77777777" w:rsidR="00EE166D" w:rsidRDefault="00000000">
      <w:pPr>
        <w:numPr>
          <w:ilvl w:val="1"/>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za druhého a každého dalšího psa téhož držitele, kterým je osoba starší 65 let, 200 Kč.</w:t>
      </w:r>
    </w:p>
    <w:p w14:paraId="03ECDCC1" w14:textId="77777777" w:rsidR="00EE166D" w:rsidRDefault="00000000">
      <w:pPr>
        <w:numPr>
          <w:ilvl w:val="0"/>
          <w:numId w:val="2"/>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V případě trvání poplatkové povinnosti po dobu </w:t>
      </w:r>
      <w:proofErr w:type="gramStart"/>
      <w:r>
        <w:rPr>
          <w:rFonts w:ascii="Arial" w:eastAsia="Arial" w:hAnsi="Arial" w:cs="Arial"/>
          <w:color w:val="000000"/>
          <w:sz w:val="22"/>
          <w:szCs w:val="22"/>
        </w:rPr>
        <w:t>kratší</w:t>
      </w:r>
      <w:proofErr w:type="gramEnd"/>
      <w:r>
        <w:rPr>
          <w:rFonts w:ascii="Arial" w:eastAsia="Arial" w:hAnsi="Arial" w:cs="Arial"/>
          <w:color w:val="000000"/>
          <w:sz w:val="22"/>
          <w:szCs w:val="22"/>
        </w:rPr>
        <w:t xml:space="preserve"> než jeden rok se platí poplatek v poměrné výši, která odpovídá počtu i započatých kalendářních měsíců</w:t>
      </w:r>
      <w:r>
        <w:rPr>
          <w:rFonts w:ascii="Arial" w:eastAsia="Arial" w:hAnsi="Arial" w:cs="Arial"/>
          <w:color w:val="000000"/>
          <w:sz w:val="26"/>
          <w:szCs w:val="26"/>
          <w:vertAlign w:val="superscript"/>
        </w:rPr>
        <w:footnoteReference w:id="7"/>
      </w:r>
      <w:r>
        <w:rPr>
          <w:rFonts w:ascii="Arial" w:eastAsia="Arial" w:hAnsi="Arial" w:cs="Arial"/>
          <w:color w:val="000000"/>
          <w:sz w:val="22"/>
          <w:szCs w:val="22"/>
        </w:rPr>
        <w:t>.</w:t>
      </w:r>
    </w:p>
    <w:p w14:paraId="30DD800D"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5</w:t>
      </w:r>
      <w:r>
        <w:rPr>
          <w:rFonts w:ascii="Arial" w:eastAsia="Arial" w:hAnsi="Arial" w:cs="Arial"/>
          <w:b/>
          <w:color w:val="000000"/>
        </w:rPr>
        <w:br/>
        <w:t>Splatnost poplatku</w:t>
      </w:r>
    </w:p>
    <w:p w14:paraId="3C864572" w14:textId="77777777" w:rsidR="00EE166D" w:rsidRDefault="00000000">
      <w:pPr>
        <w:numPr>
          <w:ilvl w:val="0"/>
          <w:numId w:val="3"/>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Poplatek je splatný nejpozději do 31. března příslušného kalendářního roku.</w:t>
      </w:r>
    </w:p>
    <w:p w14:paraId="0622EE46" w14:textId="77777777" w:rsidR="00EE166D" w:rsidRDefault="00000000">
      <w:pPr>
        <w:numPr>
          <w:ilvl w:val="0"/>
          <w:numId w:val="3"/>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Vznikne-li poplatková povinnost po datu splatnosti uvedeném v odstavci 1, je poplatek splatný nejpozději do patnáctého dne měsíce, který následuje po měsíci, ve kterém poplatková povinnost vznikla.</w:t>
      </w:r>
    </w:p>
    <w:p w14:paraId="051BAE54" w14:textId="77777777" w:rsidR="00EE166D" w:rsidRDefault="00000000">
      <w:pPr>
        <w:numPr>
          <w:ilvl w:val="0"/>
          <w:numId w:val="3"/>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Lhůta splatnosti neskončí poplatníkovi dříve než lhůta pro podání ohlášení podle čl. 3 odst. 1 této vyhlášky.</w:t>
      </w:r>
    </w:p>
    <w:p w14:paraId="11FB7727"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6</w:t>
      </w:r>
      <w:r>
        <w:rPr>
          <w:rFonts w:ascii="Arial" w:eastAsia="Arial" w:hAnsi="Arial" w:cs="Arial"/>
          <w:b/>
          <w:color w:val="000000"/>
        </w:rPr>
        <w:br/>
        <w:t xml:space="preserve"> Osvobození</w:t>
      </w:r>
    </w:p>
    <w:p w14:paraId="7716D434" w14:textId="77777777" w:rsidR="00EE166D" w:rsidRDefault="00000000">
      <w:pPr>
        <w:numPr>
          <w:ilvl w:val="0"/>
          <w:numId w:val="4"/>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Fonts w:ascii="Arial" w:eastAsia="Arial" w:hAnsi="Arial" w:cs="Arial"/>
          <w:color w:val="000000"/>
          <w:sz w:val="26"/>
          <w:szCs w:val="26"/>
          <w:vertAlign w:val="superscript"/>
        </w:rPr>
        <w:footnoteReference w:id="8"/>
      </w:r>
      <w:r>
        <w:rPr>
          <w:rFonts w:ascii="Arial" w:eastAsia="Arial" w:hAnsi="Arial" w:cs="Arial"/>
          <w:color w:val="000000"/>
          <w:sz w:val="22"/>
          <w:szCs w:val="22"/>
        </w:rPr>
        <w:t>.</w:t>
      </w:r>
    </w:p>
    <w:p w14:paraId="41D7C235" w14:textId="77777777" w:rsidR="00EE166D" w:rsidRDefault="00000000">
      <w:pPr>
        <w:numPr>
          <w:ilvl w:val="0"/>
          <w:numId w:val="4"/>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V případě, že poplatník nesplní povinnost ohlásit údaj rozhodný pro osvobození ve lhůtách stanovených touto vyhláškou nebo zákonem, nárok na osvobození zaniká</w:t>
      </w:r>
      <w:r>
        <w:rPr>
          <w:rFonts w:ascii="Arial" w:eastAsia="Arial" w:hAnsi="Arial" w:cs="Arial"/>
          <w:color w:val="000000"/>
          <w:sz w:val="26"/>
          <w:szCs w:val="26"/>
          <w:vertAlign w:val="superscript"/>
        </w:rPr>
        <w:footnoteReference w:id="9"/>
      </w:r>
      <w:r>
        <w:rPr>
          <w:rFonts w:ascii="Arial" w:eastAsia="Arial" w:hAnsi="Arial" w:cs="Arial"/>
          <w:color w:val="000000"/>
          <w:sz w:val="22"/>
          <w:szCs w:val="22"/>
        </w:rPr>
        <w:t>.</w:t>
      </w:r>
    </w:p>
    <w:p w14:paraId="0D4233B7"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7</w:t>
      </w:r>
      <w:r>
        <w:rPr>
          <w:rFonts w:ascii="Arial" w:eastAsia="Arial" w:hAnsi="Arial" w:cs="Arial"/>
          <w:b/>
          <w:color w:val="000000"/>
        </w:rPr>
        <w:br/>
        <w:t xml:space="preserve"> Přechodné a zrušovací ustanovení</w:t>
      </w:r>
    </w:p>
    <w:p w14:paraId="3FC69965" w14:textId="77777777" w:rsidR="00EE166D" w:rsidRDefault="00000000">
      <w:pPr>
        <w:numPr>
          <w:ilvl w:val="0"/>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Poplatkové povinnosti vzniklé před nabytím účinnosti této vyhlášky se posuzují podle dosavadních právních předpisů.</w:t>
      </w:r>
    </w:p>
    <w:p w14:paraId="40F78E16" w14:textId="77777777" w:rsidR="00EE166D" w:rsidRDefault="00000000">
      <w:pPr>
        <w:numPr>
          <w:ilvl w:val="0"/>
          <w:numId w:val="5"/>
        </w:num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Zrušuje se obecně závazná vyhláška č. 2/2019, Obecně závazná vyhláška č. 2/2019 o místním poplatku ze psů, ze dne 11. prosince 2019.</w:t>
      </w:r>
    </w:p>
    <w:p w14:paraId="7412A606" w14:textId="77777777" w:rsidR="00EE166D" w:rsidRDefault="00000000">
      <w:pPr>
        <w:keepNext/>
        <w:numPr>
          <w:ilvl w:val="1"/>
          <w:numId w:val="6"/>
        </w:numPr>
        <w:pBdr>
          <w:top w:val="nil"/>
          <w:left w:val="nil"/>
          <w:bottom w:val="nil"/>
          <w:right w:val="nil"/>
          <w:between w:val="nil"/>
        </w:pBdr>
        <w:tabs>
          <w:tab w:val="left" w:pos="0"/>
        </w:tabs>
        <w:spacing w:before="360" w:line="276" w:lineRule="auto"/>
        <w:jc w:val="center"/>
        <w:rPr>
          <w:rFonts w:ascii="Arial" w:eastAsia="Arial" w:hAnsi="Arial" w:cs="Arial"/>
          <w:b/>
          <w:color w:val="000000"/>
        </w:rPr>
      </w:pPr>
      <w:r>
        <w:rPr>
          <w:rFonts w:ascii="Arial" w:eastAsia="Arial" w:hAnsi="Arial" w:cs="Arial"/>
          <w:b/>
          <w:color w:val="000000"/>
        </w:rPr>
        <w:t>Čl. 8</w:t>
      </w:r>
      <w:r>
        <w:rPr>
          <w:rFonts w:ascii="Arial" w:eastAsia="Arial" w:hAnsi="Arial" w:cs="Arial"/>
          <w:b/>
          <w:color w:val="000000"/>
        </w:rPr>
        <w:br/>
        <w:t>Účinnost</w:t>
      </w:r>
    </w:p>
    <w:p w14:paraId="0A7831B0" w14:textId="77777777" w:rsidR="00EE166D" w:rsidRDefault="00000000">
      <w:pPr>
        <w:pBdr>
          <w:top w:val="nil"/>
          <w:left w:val="nil"/>
          <w:bottom w:val="nil"/>
          <w:right w:val="nil"/>
          <w:between w:val="nil"/>
        </w:pBdr>
        <w:tabs>
          <w:tab w:val="left" w:pos="567"/>
        </w:tabs>
        <w:spacing w:after="120" w:line="276" w:lineRule="auto"/>
        <w:jc w:val="both"/>
        <w:rPr>
          <w:rFonts w:ascii="Arial" w:eastAsia="Arial" w:hAnsi="Arial" w:cs="Arial"/>
          <w:color w:val="000000"/>
          <w:sz w:val="22"/>
          <w:szCs w:val="22"/>
        </w:rPr>
      </w:pPr>
      <w:r>
        <w:rPr>
          <w:rFonts w:ascii="Arial" w:eastAsia="Arial" w:hAnsi="Arial" w:cs="Arial"/>
          <w:color w:val="000000"/>
          <w:sz w:val="22"/>
          <w:szCs w:val="22"/>
        </w:rPr>
        <w:t>Tato vyhláška nabývá účinnosti dnem 1. ledna 2024.</w:t>
      </w:r>
    </w:p>
    <w:tbl>
      <w:tblPr>
        <w:tblStyle w:val="a"/>
        <w:tblW w:w="9641" w:type="dxa"/>
        <w:tblInd w:w="-55" w:type="dxa"/>
        <w:tblLayout w:type="fixed"/>
        <w:tblLook w:val="0000" w:firstRow="0" w:lastRow="0" w:firstColumn="0" w:lastColumn="0" w:noHBand="0" w:noVBand="0"/>
      </w:tblPr>
      <w:tblGrid>
        <w:gridCol w:w="4820"/>
        <w:gridCol w:w="4821"/>
      </w:tblGrid>
      <w:tr w:rsidR="00EE166D" w14:paraId="2FC3F41B" w14:textId="77777777">
        <w:trPr>
          <w:trHeight w:val="1134"/>
        </w:trPr>
        <w:tc>
          <w:tcPr>
            <w:tcW w:w="4820" w:type="dxa"/>
            <w:shd w:val="clear" w:color="auto" w:fill="auto"/>
            <w:vAlign w:val="bottom"/>
          </w:tcPr>
          <w:p w14:paraId="4016EA01" w14:textId="77777777" w:rsidR="00EE166D" w:rsidRDefault="00000000">
            <w:pPr>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Jana Minářová v. r.</w:t>
            </w:r>
            <w:r>
              <w:rPr>
                <w:rFonts w:ascii="Arial" w:eastAsia="Arial" w:hAnsi="Arial" w:cs="Arial"/>
                <w:color w:val="000000"/>
                <w:sz w:val="22"/>
                <w:szCs w:val="22"/>
              </w:rPr>
              <w:br/>
              <w:t xml:space="preserve"> starostka</w:t>
            </w:r>
          </w:p>
        </w:tc>
        <w:tc>
          <w:tcPr>
            <w:tcW w:w="4821" w:type="dxa"/>
            <w:shd w:val="clear" w:color="auto" w:fill="auto"/>
            <w:vAlign w:val="bottom"/>
          </w:tcPr>
          <w:p w14:paraId="4A1C03A0" w14:textId="77777777" w:rsidR="00EE166D" w:rsidRDefault="00000000">
            <w:pPr>
              <w:widowControl w:val="0"/>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Antonín Horváth v. r.</w:t>
            </w:r>
            <w:r>
              <w:rPr>
                <w:rFonts w:ascii="Arial" w:eastAsia="Arial" w:hAnsi="Arial" w:cs="Arial"/>
                <w:color w:val="000000"/>
                <w:sz w:val="22"/>
                <w:szCs w:val="22"/>
              </w:rPr>
              <w:br/>
              <w:t xml:space="preserve"> místostarosta</w:t>
            </w:r>
          </w:p>
        </w:tc>
      </w:tr>
      <w:tr w:rsidR="00EE166D" w14:paraId="2485032A" w14:textId="77777777">
        <w:trPr>
          <w:trHeight w:val="1134"/>
        </w:trPr>
        <w:tc>
          <w:tcPr>
            <w:tcW w:w="4820" w:type="dxa"/>
            <w:shd w:val="clear" w:color="auto" w:fill="auto"/>
            <w:vAlign w:val="bottom"/>
          </w:tcPr>
          <w:p w14:paraId="0B7887A1" w14:textId="77777777" w:rsidR="00EE166D" w:rsidRDefault="00EE166D">
            <w:pPr>
              <w:widowControl w:val="0"/>
              <w:pBdr>
                <w:top w:val="nil"/>
                <w:left w:val="nil"/>
                <w:bottom w:val="nil"/>
                <w:right w:val="nil"/>
                <w:between w:val="nil"/>
              </w:pBdr>
              <w:jc w:val="center"/>
              <w:rPr>
                <w:rFonts w:ascii="Arial" w:eastAsia="Arial" w:hAnsi="Arial" w:cs="Arial"/>
                <w:color w:val="000000"/>
                <w:sz w:val="22"/>
                <w:szCs w:val="22"/>
              </w:rPr>
            </w:pPr>
          </w:p>
        </w:tc>
        <w:tc>
          <w:tcPr>
            <w:tcW w:w="4821" w:type="dxa"/>
            <w:shd w:val="clear" w:color="auto" w:fill="auto"/>
            <w:vAlign w:val="bottom"/>
          </w:tcPr>
          <w:p w14:paraId="29F7DA78" w14:textId="77777777" w:rsidR="00EE166D" w:rsidRDefault="00EE166D">
            <w:pPr>
              <w:widowControl w:val="0"/>
              <w:pBdr>
                <w:top w:val="nil"/>
                <w:left w:val="nil"/>
                <w:bottom w:val="nil"/>
                <w:right w:val="nil"/>
                <w:between w:val="nil"/>
              </w:pBdr>
              <w:jc w:val="center"/>
              <w:rPr>
                <w:rFonts w:ascii="Arial" w:eastAsia="Arial" w:hAnsi="Arial" w:cs="Arial"/>
                <w:color w:val="000000"/>
                <w:sz w:val="22"/>
                <w:szCs w:val="22"/>
              </w:rPr>
            </w:pPr>
          </w:p>
        </w:tc>
      </w:tr>
    </w:tbl>
    <w:p w14:paraId="1DD7265F" w14:textId="77777777" w:rsidR="00EE166D" w:rsidRDefault="00EE166D">
      <w:pPr>
        <w:pBdr>
          <w:top w:val="nil"/>
          <w:left w:val="nil"/>
          <w:bottom w:val="nil"/>
          <w:right w:val="nil"/>
          <w:between w:val="nil"/>
        </w:pBdr>
        <w:rPr>
          <w:color w:val="000000"/>
        </w:rPr>
      </w:pPr>
    </w:p>
    <w:sectPr w:rsidR="00EE166D">
      <w:pgSz w:w="11909" w:h="16834"/>
      <w:pgMar w:top="1134" w:right="1134" w:bottom="1134" w:left="1134" w:header="0"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39230" w14:textId="77777777" w:rsidR="009F07B5" w:rsidRDefault="009F07B5">
      <w:r>
        <w:separator/>
      </w:r>
    </w:p>
  </w:endnote>
  <w:endnote w:type="continuationSeparator" w:id="0">
    <w:p w14:paraId="2DA95B2F" w14:textId="77777777" w:rsidR="009F07B5" w:rsidRDefault="009F0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D768" w14:textId="77777777" w:rsidR="009F07B5" w:rsidRDefault="009F07B5">
      <w:r>
        <w:separator/>
      </w:r>
    </w:p>
  </w:footnote>
  <w:footnote w:type="continuationSeparator" w:id="0">
    <w:p w14:paraId="1449A85A" w14:textId="77777777" w:rsidR="009F07B5" w:rsidRDefault="009F07B5">
      <w:r>
        <w:continuationSeparator/>
      </w:r>
    </w:p>
  </w:footnote>
  <w:footnote w:id="1">
    <w:p w14:paraId="61AE2FF4"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5 zákona o místních poplatcích</w:t>
      </w:r>
    </w:p>
  </w:footnote>
  <w:footnote w:id="2">
    <w:p w14:paraId="72729B00"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15 odst. 1 zákona o místních poplatcích</w:t>
      </w:r>
    </w:p>
  </w:footnote>
  <w:footnote w:id="3">
    <w:p w14:paraId="31B13667"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1 a 4 zákona o místních poplatcích</w:t>
      </w:r>
    </w:p>
  </w:footnote>
  <w:footnote w:id="4">
    <w:p w14:paraId="7680DA5E"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5">
    <w:p w14:paraId="484636E4"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1 a 2 zákona o místních poplatcích; v ohlášení poplatník uvede zejména své identifikační údaje a skutečnosti rozhodné pro stanovení poplatku</w:t>
      </w:r>
    </w:p>
  </w:footnote>
  <w:footnote w:id="6">
    <w:p w14:paraId="48B4B4A6"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4 zákona o místních poplatcích</w:t>
      </w:r>
    </w:p>
  </w:footnote>
  <w:footnote w:id="7">
    <w:p w14:paraId="57832CC1"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3 zákona o místních poplatcích</w:t>
      </w:r>
    </w:p>
  </w:footnote>
  <w:footnote w:id="8">
    <w:p w14:paraId="5E58C9E5"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2 odst. 2 zákona o místních poplatcích</w:t>
      </w:r>
    </w:p>
  </w:footnote>
  <w:footnote w:id="9">
    <w:p w14:paraId="0F46319B" w14:textId="77777777" w:rsidR="00EE166D" w:rsidRDefault="00000000">
      <w:pPr>
        <w:pBdr>
          <w:top w:val="nil"/>
          <w:left w:val="nil"/>
          <w:bottom w:val="nil"/>
          <w:right w:val="nil"/>
          <w:between w:val="nil"/>
        </w:pBdr>
        <w:ind w:left="170" w:hanging="170"/>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C82"/>
    <w:multiLevelType w:val="multilevel"/>
    <w:tmpl w:val="0EBA5B3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1A3431F"/>
    <w:multiLevelType w:val="multilevel"/>
    <w:tmpl w:val="803024B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16D0730"/>
    <w:multiLevelType w:val="multilevel"/>
    <w:tmpl w:val="C4441D56"/>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3A60309E"/>
    <w:multiLevelType w:val="multilevel"/>
    <w:tmpl w:val="ADEA6DA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5E3676E7"/>
    <w:multiLevelType w:val="multilevel"/>
    <w:tmpl w:val="8594066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11B1EDB"/>
    <w:multiLevelType w:val="multilevel"/>
    <w:tmpl w:val="C75C98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3E50E58"/>
    <w:multiLevelType w:val="multilevel"/>
    <w:tmpl w:val="EA428B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E66655F"/>
    <w:multiLevelType w:val="multilevel"/>
    <w:tmpl w:val="6FDE1EB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30984475">
    <w:abstractNumId w:val="1"/>
  </w:num>
  <w:num w:numId="2" w16cid:durableId="1256285283">
    <w:abstractNumId w:val="6"/>
  </w:num>
  <w:num w:numId="3" w16cid:durableId="1990547444">
    <w:abstractNumId w:val="7"/>
  </w:num>
  <w:num w:numId="4" w16cid:durableId="1680304653">
    <w:abstractNumId w:val="4"/>
  </w:num>
  <w:num w:numId="5" w16cid:durableId="1212183913">
    <w:abstractNumId w:val="5"/>
  </w:num>
  <w:num w:numId="6" w16cid:durableId="1126386009">
    <w:abstractNumId w:val="2"/>
  </w:num>
  <w:num w:numId="7" w16cid:durableId="866598185">
    <w:abstractNumId w:val="0"/>
  </w:num>
  <w:num w:numId="8" w16cid:durableId="2108886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66D"/>
    <w:rsid w:val="004E61B6"/>
    <w:rsid w:val="009F07B5"/>
    <w:rsid w:val="00EE16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D0004"/>
  <w15:docId w15:val="{45B3CBE6-FD7F-47BC-BF72-417F5627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5" w:type="dxa"/>
        <w:left w:w="55" w:type="dxa"/>
        <w:bottom w:w="55"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2796</Characters>
  <Application>Microsoft Office Word</Application>
  <DocSecurity>0</DocSecurity>
  <Lines>23</Lines>
  <Paragraphs>6</Paragraphs>
  <ScaleCrop>false</ScaleCrop>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 -</cp:lastModifiedBy>
  <cp:revision>2</cp:revision>
  <dcterms:created xsi:type="dcterms:W3CDTF">2024-01-10T17:17:00Z</dcterms:created>
  <dcterms:modified xsi:type="dcterms:W3CDTF">2024-01-10T17:17:00Z</dcterms:modified>
</cp:coreProperties>
</file>